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092D" w14:textId="77777777" w:rsidR="00CF1133" w:rsidRDefault="00CF1133" w:rsidP="00CF1133">
      <w:pPr>
        <w:ind w:left="-710" w:firstLine="695"/>
        <w:rPr>
          <w:b/>
          <w:bCs/>
        </w:rPr>
      </w:pPr>
    </w:p>
    <w:p w14:paraId="60D4092E" w14:textId="77777777" w:rsidR="00CF1133" w:rsidRDefault="0078071C" w:rsidP="00CF1133">
      <w:pPr>
        <w:ind w:left="-710" w:firstLine="695"/>
      </w:pPr>
      <w:r>
        <w:rPr>
          <w:b/>
          <w:bCs/>
        </w:rPr>
        <w:t xml:space="preserve">Lancashire Enterprise Partnership Limited  </w:t>
      </w:r>
    </w:p>
    <w:p w14:paraId="60D4092F" w14:textId="77777777" w:rsidR="00CF1133" w:rsidRPr="00BC4466" w:rsidRDefault="0078071C" w:rsidP="00CF1133">
      <w:pPr>
        <w:spacing w:after="0" w:line="256" w:lineRule="auto"/>
        <w:ind w:left="0" w:firstLine="0"/>
        <w:rPr>
          <w:b/>
          <w:bCs/>
        </w:rPr>
      </w:pPr>
      <w:r w:rsidRPr="00BC4466">
        <w:rPr>
          <w:b/>
          <w:bCs/>
        </w:rPr>
        <w:t xml:space="preserve"> </w:t>
      </w:r>
    </w:p>
    <w:p w14:paraId="60D40930" w14:textId="710536AC" w:rsidR="00BC4466" w:rsidRPr="00BC4466" w:rsidRDefault="0078071C" w:rsidP="00CF1133">
      <w:pPr>
        <w:spacing w:after="0" w:line="256" w:lineRule="auto"/>
        <w:ind w:left="0" w:firstLine="0"/>
        <w:rPr>
          <w:b/>
          <w:bCs/>
        </w:rPr>
      </w:pPr>
      <w:r w:rsidRPr="00BC4466">
        <w:rPr>
          <w:b/>
        </w:rPr>
        <w:t xml:space="preserve">Private and Confidential: </w:t>
      </w:r>
      <w:r w:rsidR="0069172C">
        <w:rPr>
          <w:b/>
        </w:rPr>
        <w:t>N</w:t>
      </w:r>
      <w:r>
        <w:rPr>
          <w:b/>
        </w:rPr>
        <w:t>O</w:t>
      </w:r>
    </w:p>
    <w:p w14:paraId="60D40931" w14:textId="77777777" w:rsidR="00BC4466" w:rsidRDefault="00BC4466" w:rsidP="00CF1133">
      <w:pPr>
        <w:spacing w:after="0" w:line="256" w:lineRule="auto"/>
        <w:ind w:left="0" w:firstLine="0"/>
      </w:pPr>
    </w:p>
    <w:p w14:paraId="60D40932" w14:textId="77777777" w:rsidR="00A3358A" w:rsidRDefault="0078071C"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Wednesday, 20 December 2023</w:t>
      </w:r>
      <w:r w:rsidR="00D45EFD">
        <w:fldChar w:fldCharType="end"/>
      </w:r>
    </w:p>
    <w:p w14:paraId="60D40933" w14:textId="77777777" w:rsidR="00A3358A" w:rsidRDefault="00A3358A" w:rsidP="00A3358A"/>
    <w:p w14:paraId="60D40934" w14:textId="77777777" w:rsidR="00A3358A" w:rsidRDefault="0078071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Arrangements for LEP Closure</w:t>
      </w:r>
      <w:r>
        <w:rPr>
          <w:rFonts w:eastAsia="Times New Roman" w:cs="Times New Roman"/>
          <w:b/>
          <w:color w:val="auto"/>
          <w:szCs w:val="20"/>
        </w:rPr>
        <w:fldChar w:fldCharType="end"/>
      </w:r>
    </w:p>
    <w:p w14:paraId="60D40936" w14:textId="77777777" w:rsidR="00D7480F" w:rsidRDefault="00D7480F" w:rsidP="00CF1133">
      <w:pPr>
        <w:spacing w:after="0" w:line="256" w:lineRule="auto"/>
        <w:ind w:left="0" w:firstLine="0"/>
      </w:pPr>
    </w:p>
    <w:p w14:paraId="60D40937" w14:textId="77777777" w:rsidR="00F41096" w:rsidRPr="00F41096" w:rsidRDefault="0078071C"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60D40938" w14:textId="77777777" w:rsidR="00F41096" w:rsidRPr="00F41096" w:rsidRDefault="0078071C"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60D4093A" w14:textId="0617C83F" w:rsidR="00F95C8B" w:rsidRDefault="0078071C" w:rsidP="0078071C">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F2552" w14:paraId="60D40944" w14:textId="77777777" w:rsidTr="00841251">
        <w:tc>
          <w:tcPr>
            <w:tcW w:w="9180" w:type="dxa"/>
          </w:tcPr>
          <w:p w14:paraId="60D4093B" w14:textId="77777777" w:rsidR="00F95C8B" w:rsidRDefault="00F95C8B" w:rsidP="00841251">
            <w:pPr>
              <w:pStyle w:val="Header"/>
            </w:pPr>
          </w:p>
          <w:p w14:paraId="60D4093C" w14:textId="77777777" w:rsidR="00F95C8B" w:rsidRPr="00F95C8B" w:rsidRDefault="0078071C" w:rsidP="00841251">
            <w:pPr>
              <w:pStyle w:val="Heading6"/>
              <w:rPr>
                <w:rFonts w:ascii="Arial" w:hAnsi="Arial"/>
                <w:b/>
                <w:color w:val="auto"/>
              </w:rPr>
            </w:pPr>
            <w:r w:rsidRPr="00F95C8B">
              <w:rPr>
                <w:rFonts w:ascii="Arial" w:hAnsi="Arial"/>
                <w:b/>
                <w:color w:val="auto"/>
              </w:rPr>
              <w:t>Executive Summary</w:t>
            </w:r>
          </w:p>
          <w:p w14:paraId="60D4093D" w14:textId="77777777" w:rsidR="00F95C8B" w:rsidRPr="00F95C8B" w:rsidRDefault="00F95C8B" w:rsidP="00841251">
            <w:pPr>
              <w:rPr>
                <w:color w:val="auto"/>
              </w:rPr>
            </w:pPr>
          </w:p>
          <w:p w14:paraId="60D4093E" w14:textId="161E8EA5" w:rsidR="00F95C8B" w:rsidRDefault="0078071C" w:rsidP="0078071C">
            <w:pPr>
              <w:ind w:left="0" w:firstLine="0"/>
              <w:jc w:val="both"/>
              <w:rPr>
                <w:color w:val="auto"/>
              </w:rPr>
            </w:pPr>
            <w:r>
              <w:rPr>
                <w:color w:val="auto"/>
              </w:rPr>
              <w:t xml:space="preserve">This </w:t>
            </w:r>
            <w:r>
              <w:rPr>
                <w:color w:val="auto"/>
              </w:rPr>
              <w:t xml:space="preserve">brief report details the practicalities associated with the winding up of the </w:t>
            </w:r>
            <w:r>
              <w:rPr>
                <w:color w:val="auto"/>
              </w:rPr>
              <w:t>Lancashire</w:t>
            </w:r>
            <w:r>
              <w:rPr>
                <w:color w:val="auto"/>
              </w:rPr>
              <w:t xml:space="preserve"> Enterprise </w:t>
            </w:r>
            <w:r>
              <w:rPr>
                <w:color w:val="auto"/>
              </w:rPr>
              <w:t>Partnership</w:t>
            </w:r>
            <w:r>
              <w:rPr>
                <w:color w:val="auto"/>
              </w:rPr>
              <w:t xml:space="preserve"> (</w:t>
            </w:r>
            <w:r>
              <w:rPr>
                <w:color w:val="auto"/>
              </w:rPr>
              <w:t>LEP)</w:t>
            </w:r>
            <w:r>
              <w:rPr>
                <w:color w:val="auto"/>
              </w:rPr>
              <w:t xml:space="preserve"> on the 31</w:t>
            </w:r>
            <w:r w:rsidRPr="0069172C">
              <w:rPr>
                <w:color w:val="auto"/>
                <w:vertAlign w:val="superscript"/>
              </w:rPr>
              <w:t>st</w:t>
            </w:r>
            <w:r>
              <w:rPr>
                <w:color w:val="auto"/>
              </w:rPr>
              <w:t xml:space="preserve"> March 2024.</w:t>
            </w:r>
          </w:p>
          <w:p w14:paraId="2B2CBA8D" w14:textId="6DFD8C63" w:rsidR="0069172C" w:rsidRDefault="0069172C" w:rsidP="0078071C">
            <w:pPr>
              <w:ind w:left="0" w:firstLine="0"/>
              <w:jc w:val="both"/>
              <w:rPr>
                <w:color w:val="auto"/>
              </w:rPr>
            </w:pPr>
          </w:p>
          <w:p w14:paraId="32FF91A6" w14:textId="681275D1" w:rsidR="0069172C" w:rsidRPr="00F95C8B" w:rsidRDefault="0078071C" w:rsidP="0078071C">
            <w:pPr>
              <w:ind w:left="0" w:firstLine="0"/>
              <w:jc w:val="both"/>
              <w:rPr>
                <w:color w:val="auto"/>
              </w:rPr>
            </w:pPr>
            <w:r>
              <w:rPr>
                <w:color w:val="auto"/>
              </w:rPr>
              <w:t>The LEP core funding from Department of Levelling Up, Housing and Communities</w:t>
            </w:r>
            <w:r>
              <w:rPr>
                <w:color w:val="auto"/>
              </w:rPr>
              <w:t xml:space="preserve"> (DLUHC)</w:t>
            </w:r>
            <w:r>
              <w:rPr>
                <w:color w:val="auto"/>
              </w:rPr>
              <w:t xml:space="preserve"> requires that a business led board remains in place to oversee the use </w:t>
            </w:r>
            <w:r>
              <w:rPr>
                <w:color w:val="auto"/>
              </w:rPr>
              <w:t xml:space="preserve">of these funds until that point, but this is likely to be the last formal meeting of the Board. </w:t>
            </w:r>
          </w:p>
          <w:p w14:paraId="60D4093F" w14:textId="77777777" w:rsidR="00F95C8B" w:rsidRPr="00F95C8B" w:rsidRDefault="00F95C8B" w:rsidP="0078071C">
            <w:pPr>
              <w:jc w:val="both"/>
              <w:rPr>
                <w:color w:val="auto"/>
              </w:rPr>
            </w:pPr>
          </w:p>
          <w:p w14:paraId="60D40940" w14:textId="77777777" w:rsidR="00F95C8B" w:rsidRPr="00F95C8B" w:rsidRDefault="0078071C" w:rsidP="0078071C">
            <w:pPr>
              <w:pStyle w:val="Heading5"/>
              <w:jc w:val="both"/>
              <w:rPr>
                <w:rFonts w:ascii="Arial" w:hAnsi="Arial"/>
                <w:b/>
                <w:color w:val="auto"/>
              </w:rPr>
            </w:pPr>
            <w:r w:rsidRPr="00F95C8B">
              <w:rPr>
                <w:rFonts w:ascii="Arial" w:hAnsi="Arial"/>
                <w:b/>
                <w:color w:val="auto"/>
              </w:rPr>
              <w:t>Recommendation</w:t>
            </w:r>
          </w:p>
          <w:p w14:paraId="60D40941" w14:textId="77777777" w:rsidR="00F95C8B" w:rsidRPr="00F95C8B" w:rsidRDefault="00F95C8B" w:rsidP="0078071C">
            <w:pPr>
              <w:jc w:val="both"/>
              <w:rPr>
                <w:color w:val="auto"/>
              </w:rPr>
            </w:pPr>
          </w:p>
          <w:p w14:paraId="60D40942" w14:textId="4F88AF35" w:rsidR="00F95C8B" w:rsidRPr="00F95C8B" w:rsidRDefault="0078071C" w:rsidP="0078071C">
            <w:pPr>
              <w:ind w:left="0" w:firstLine="0"/>
              <w:jc w:val="both"/>
              <w:rPr>
                <w:color w:val="auto"/>
              </w:rPr>
            </w:pPr>
            <w:r>
              <w:rPr>
                <w:color w:val="auto"/>
              </w:rPr>
              <w:t xml:space="preserve">Lancashire Enterprise Partnership </w:t>
            </w:r>
            <w:r>
              <w:rPr>
                <w:color w:val="auto"/>
              </w:rPr>
              <w:t>Board members are recommended to note the information provided below.</w:t>
            </w:r>
          </w:p>
          <w:p w14:paraId="60D40943" w14:textId="77777777" w:rsidR="00F95C8B" w:rsidRDefault="00F95C8B" w:rsidP="00841251"/>
        </w:tc>
      </w:tr>
    </w:tbl>
    <w:p w14:paraId="60D40945" w14:textId="77777777" w:rsidR="00A3358A" w:rsidRDefault="00A3358A" w:rsidP="00CF1133">
      <w:pPr>
        <w:spacing w:after="0" w:line="256" w:lineRule="auto"/>
        <w:ind w:left="0" w:firstLine="0"/>
      </w:pPr>
    </w:p>
    <w:p w14:paraId="60D40946" w14:textId="77777777" w:rsidR="00A3358A" w:rsidRDefault="0078071C" w:rsidP="00A3358A">
      <w:pPr>
        <w:rPr>
          <w:b/>
        </w:rPr>
      </w:pPr>
      <w:r>
        <w:rPr>
          <w:b/>
        </w:rPr>
        <w:t xml:space="preserve">Background and Advice </w:t>
      </w:r>
    </w:p>
    <w:p w14:paraId="60D40947" w14:textId="7FEADBD5" w:rsidR="00A3358A" w:rsidRDefault="00A3358A" w:rsidP="00A3358A">
      <w:pPr>
        <w:rPr>
          <w:b/>
        </w:rPr>
      </w:pPr>
    </w:p>
    <w:p w14:paraId="310A837E" w14:textId="77777777" w:rsidR="0069172C" w:rsidRDefault="0069172C" w:rsidP="0069172C">
      <w:pPr>
        <w:rPr>
          <w:rFonts w:ascii="Calibri" w:eastAsiaTheme="minorHAnsi" w:hAnsi="Calibri" w:cs="Calibri"/>
          <w:color w:val="auto"/>
          <w:sz w:val="22"/>
          <w:szCs w:val="22"/>
        </w:rPr>
      </w:pPr>
    </w:p>
    <w:p w14:paraId="07ECAC2C" w14:textId="77777777" w:rsidR="0078071C" w:rsidRDefault="0078071C" w:rsidP="0078071C">
      <w:pPr>
        <w:pStyle w:val="ListParagraph"/>
        <w:numPr>
          <w:ilvl w:val="0"/>
          <w:numId w:val="4"/>
        </w:numPr>
        <w:spacing w:after="0" w:line="240" w:lineRule="auto"/>
        <w:contextualSpacing w:val="0"/>
        <w:jc w:val="both"/>
        <w:rPr>
          <w:rFonts w:eastAsia="Times New Roman"/>
        </w:rPr>
      </w:pPr>
      <w:r>
        <w:rPr>
          <w:rFonts w:eastAsia="Times New Roman"/>
        </w:rPr>
        <w:t xml:space="preserve">The LEP will cease to have any formal </w:t>
      </w:r>
      <w:r>
        <w:rPr>
          <w:rFonts w:eastAsia="Times New Roman"/>
        </w:rPr>
        <w:t>role on the 31</w:t>
      </w:r>
      <w:r>
        <w:rPr>
          <w:rFonts w:eastAsia="Times New Roman"/>
          <w:vertAlign w:val="superscript"/>
        </w:rPr>
        <w:t>st</w:t>
      </w:r>
      <w:r>
        <w:rPr>
          <w:rFonts w:eastAsia="Times New Roman"/>
        </w:rPr>
        <w:t xml:space="preserve"> March 2024. At this point all functions, funds of the LEP will be held at the discretion of Director of Resources at Lancashire County Council the accountable body for the LEP.  This has in effect been the position since the company struct</w:t>
      </w:r>
      <w:r>
        <w:rPr>
          <w:rFonts w:eastAsia="Times New Roman"/>
        </w:rPr>
        <w:t>ure of the LEP was wound up earlier in the Summer.</w:t>
      </w:r>
    </w:p>
    <w:p w14:paraId="7B63577B" w14:textId="6B189A02" w:rsidR="0069172C" w:rsidRDefault="0069172C" w:rsidP="0078071C">
      <w:pPr>
        <w:pStyle w:val="ListParagraph"/>
        <w:spacing w:after="0" w:line="240" w:lineRule="auto"/>
        <w:ind w:firstLine="0"/>
        <w:contextualSpacing w:val="0"/>
        <w:jc w:val="both"/>
        <w:rPr>
          <w:rFonts w:eastAsia="Times New Roman"/>
        </w:rPr>
      </w:pPr>
    </w:p>
    <w:p w14:paraId="2D1FFA4D" w14:textId="29D93F4E" w:rsidR="0069172C" w:rsidRPr="0078071C" w:rsidRDefault="0078071C" w:rsidP="0078071C">
      <w:pPr>
        <w:pStyle w:val="ListParagraph"/>
        <w:numPr>
          <w:ilvl w:val="0"/>
          <w:numId w:val="4"/>
        </w:numPr>
        <w:spacing w:after="0" w:line="240" w:lineRule="auto"/>
        <w:contextualSpacing w:val="0"/>
        <w:jc w:val="both"/>
        <w:rPr>
          <w:rFonts w:eastAsia="Times New Roman"/>
        </w:rPr>
      </w:pPr>
      <w:r>
        <w:rPr>
          <w:rFonts w:eastAsia="Times New Roman"/>
        </w:rPr>
        <w:t>That the sub-groups and sector groups of the LEP can continue to meet informally until their role under a new Business Board is determined</w:t>
      </w:r>
      <w:r w:rsidRPr="0025277F">
        <w:rPr>
          <w:rFonts w:eastAsia="Times New Roman"/>
          <w:color w:val="auto"/>
        </w:rPr>
        <w:t>,</w:t>
      </w:r>
      <w:r>
        <w:rPr>
          <w:rFonts w:eastAsia="Times New Roman"/>
          <w:color w:val="FF0000"/>
        </w:rPr>
        <w:t xml:space="preserve"> </w:t>
      </w:r>
      <w:r w:rsidRPr="0025277F">
        <w:rPr>
          <w:rFonts w:eastAsia="Times New Roman"/>
          <w:color w:val="auto"/>
        </w:rPr>
        <w:t xml:space="preserve">although they will no longer have a parent body – the LEP.  </w:t>
      </w:r>
      <w:r w:rsidR="0025277F" w:rsidRPr="0025277F">
        <w:rPr>
          <w:rFonts w:eastAsia="Times New Roman"/>
          <w:color w:val="auto"/>
        </w:rPr>
        <w:t xml:space="preserve">LCC </w:t>
      </w:r>
      <w:r w:rsidRPr="0025277F">
        <w:rPr>
          <w:rFonts w:eastAsia="Times New Roman"/>
          <w:color w:val="auto"/>
        </w:rPr>
        <w:t>Dem</w:t>
      </w:r>
      <w:r w:rsidR="0025277F" w:rsidRPr="0025277F">
        <w:rPr>
          <w:rFonts w:eastAsia="Times New Roman"/>
          <w:color w:val="auto"/>
        </w:rPr>
        <w:t xml:space="preserve">ocratic </w:t>
      </w:r>
      <w:r w:rsidRPr="0025277F">
        <w:rPr>
          <w:rFonts w:eastAsia="Times New Roman"/>
          <w:color w:val="auto"/>
        </w:rPr>
        <w:t xml:space="preserve">Services have not scheduled any further meetings of these sub groups beyond the 2023/24 at this stage until the Business Board arrangements are determined but </w:t>
      </w:r>
      <w:r w:rsidR="0025277F">
        <w:rPr>
          <w:rFonts w:eastAsia="Times New Roman"/>
          <w:color w:val="auto"/>
        </w:rPr>
        <w:t xml:space="preserve">LCC </w:t>
      </w:r>
      <w:r w:rsidRPr="0025277F">
        <w:rPr>
          <w:rFonts w:eastAsia="Times New Roman"/>
          <w:color w:val="auto"/>
        </w:rPr>
        <w:t>Business Growth ca</w:t>
      </w:r>
      <w:r w:rsidRPr="0025277F">
        <w:rPr>
          <w:rFonts w:eastAsia="Times New Roman"/>
          <w:color w:val="auto"/>
        </w:rPr>
        <w:t>n continue to meet with those groups if required informally beyond the 2023/24 scheduled dates.</w:t>
      </w:r>
    </w:p>
    <w:p w14:paraId="0E5E617D" w14:textId="77777777" w:rsidR="0078071C" w:rsidRPr="0078071C" w:rsidRDefault="0078071C" w:rsidP="0078071C">
      <w:pPr>
        <w:spacing w:after="0" w:line="240" w:lineRule="auto"/>
        <w:ind w:left="0" w:firstLine="0"/>
        <w:jc w:val="both"/>
        <w:rPr>
          <w:rFonts w:eastAsia="Times New Roman"/>
        </w:rPr>
      </w:pPr>
    </w:p>
    <w:p w14:paraId="3ED2361D" w14:textId="3B06F34C" w:rsidR="0069172C" w:rsidRDefault="0078071C" w:rsidP="0078071C">
      <w:pPr>
        <w:pStyle w:val="ListParagraph"/>
        <w:numPr>
          <w:ilvl w:val="0"/>
          <w:numId w:val="4"/>
        </w:numPr>
        <w:spacing w:after="0" w:line="240" w:lineRule="auto"/>
        <w:contextualSpacing w:val="0"/>
        <w:jc w:val="both"/>
        <w:rPr>
          <w:rFonts w:eastAsia="Times New Roman"/>
        </w:rPr>
      </w:pPr>
      <w:r>
        <w:rPr>
          <w:rFonts w:eastAsia="Times New Roman"/>
        </w:rPr>
        <w:t>D</w:t>
      </w:r>
      <w:r>
        <w:rPr>
          <w:rFonts w:eastAsia="Times New Roman"/>
        </w:rPr>
        <w:t>ebbie</w:t>
      </w:r>
      <w:r w:rsidR="0025277F">
        <w:rPr>
          <w:rFonts w:eastAsia="Times New Roman"/>
        </w:rPr>
        <w:t xml:space="preserve"> Francis OBE</w:t>
      </w:r>
      <w:r>
        <w:rPr>
          <w:rFonts w:eastAsia="Times New Roman"/>
        </w:rPr>
        <w:t xml:space="preserve"> will continue as Chair and the board will remain in place as a non-constituted board until the 31</w:t>
      </w:r>
      <w:r>
        <w:rPr>
          <w:rFonts w:eastAsia="Times New Roman"/>
          <w:vertAlign w:val="superscript"/>
        </w:rPr>
        <w:t>st</w:t>
      </w:r>
      <w:r>
        <w:rPr>
          <w:rFonts w:eastAsia="Times New Roman"/>
        </w:rPr>
        <w:t xml:space="preserve"> March</w:t>
      </w:r>
      <w:r>
        <w:rPr>
          <w:rFonts w:eastAsia="Times New Roman"/>
        </w:rPr>
        <w:t xml:space="preserve"> 2024</w:t>
      </w:r>
      <w:r>
        <w:rPr>
          <w:rFonts w:eastAsia="Times New Roman"/>
        </w:rPr>
        <w:t xml:space="preserve"> as required by DLUHC.  </w:t>
      </w:r>
    </w:p>
    <w:p w14:paraId="076B98DB" w14:textId="77777777" w:rsidR="0078071C" w:rsidRDefault="0078071C" w:rsidP="0078071C">
      <w:pPr>
        <w:pStyle w:val="ListParagraph"/>
        <w:spacing w:after="0" w:line="240" w:lineRule="auto"/>
        <w:ind w:firstLine="0"/>
        <w:contextualSpacing w:val="0"/>
        <w:jc w:val="both"/>
        <w:rPr>
          <w:rFonts w:eastAsia="Times New Roman"/>
        </w:rPr>
      </w:pPr>
    </w:p>
    <w:p w14:paraId="2172BDB8" w14:textId="25E9FC1C" w:rsidR="0069172C" w:rsidRDefault="0078071C" w:rsidP="0078071C">
      <w:pPr>
        <w:pStyle w:val="ListParagraph"/>
        <w:numPr>
          <w:ilvl w:val="0"/>
          <w:numId w:val="4"/>
        </w:numPr>
        <w:spacing w:after="0" w:line="240" w:lineRule="auto"/>
        <w:contextualSpacing w:val="0"/>
        <w:jc w:val="both"/>
        <w:rPr>
          <w:rFonts w:eastAsia="Times New Roman"/>
        </w:rPr>
      </w:pPr>
      <w:r>
        <w:rPr>
          <w:rFonts w:eastAsia="Times New Roman"/>
        </w:rPr>
        <w:lastRenderedPageBreak/>
        <w:t>As at the 3</w:t>
      </w:r>
      <w:r>
        <w:rPr>
          <w:rFonts w:eastAsia="Times New Roman"/>
        </w:rPr>
        <w:t>1</w:t>
      </w:r>
      <w:r>
        <w:rPr>
          <w:rFonts w:eastAsia="Times New Roman"/>
          <w:vertAlign w:val="superscript"/>
        </w:rPr>
        <w:t>st</w:t>
      </w:r>
      <w:r>
        <w:rPr>
          <w:rFonts w:eastAsia="Times New Roman"/>
        </w:rPr>
        <w:t xml:space="preserve"> March</w:t>
      </w:r>
      <w:r>
        <w:rPr>
          <w:rFonts w:eastAsia="Times New Roman"/>
        </w:rPr>
        <w:t xml:space="preserve"> 2024</w:t>
      </w:r>
      <w:r>
        <w:rPr>
          <w:rFonts w:eastAsia="Times New Roman"/>
        </w:rPr>
        <w:t xml:space="preserve"> </w:t>
      </w:r>
      <w:r>
        <w:rPr>
          <w:rFonts w:eastAsia="Times New Roman"/>
        </w:rPr>
        <w:t>B</w:t>
      </w:r>
      <w:r>
        <w:rPr>
          <w:rFonts w:eastAsia="Times New Roman"/>
        </w:rPr>
        <w:t xml:space="preserve">oard </w:t>
      </w:r>
      <w:r>
        <w:rPr>
          <w:rFonts w:eastAsia="Times New Roman"/>
        </w:rPr>
        <w:t>M</w:t>
      </w:r>
      <w:r>
        <w:rPr>
          <w:rFonts w:eastAsia="Times New Roman"/>
        </w:rPr>
        <w:t>embers will be notified in writing that the LEP has been wound-up, but will not be required to resign as the company has already been wound up</w:t>
      </w:r>
      <w:r w:rsidR="0025277F">
        <w:rPr>
          <w:rFonts w:eastAsia="Times New Roman"/>
        </w:rPr>
        <w:t>.</w:t>
      </w:r>
      <w:r>
        <w:rPr>
          <w:rFonts w:eastAsia="Times New Roman"/>
        </w:rPr>
        <w:t xml:space="preserve"> </w:t>
      </w:r>
    </w:p>
    <w:p w14:paraId="69C25483" w14:textId="77777777" w:rsidR="0078071C" w:rsidRPr="0078071C" w:rsidRDefault="0078071C" w:rsidP="0078071C">
      <w:pPr>
        <w:spacing w:after="0" w:line="240" w:lineRule="auto"/>
        <w:ind w:left="0" w:firstLine="0"/>
        <w:jc w:val="both"/>
        <w:rPr>
          <w:rFonts w:eastAsia="Times New Roman"/>
        </w:rPr>
      </w:pPr>
    </w:p>
    <w:p w14:paraId="4482EB2F" w14:textId="4E93378F" w:rsidR="0025277F" w:rsidRDefault="0078071C" w:rsidP="0078071C">
      <w:pPr>
        <w:pStyle w:val="ListParagraph"/>
        <w:numPr>
          <w:ilvl w:val="0"/>
          <w:numId w:val="4"/>
        </w:numPr>
        <w:spacing w:after="0" w:line="240" w:lineRule="auto"/>
        <w:contextualSpacing w:val="0"/>
        <w:jc w:val="both"/>
        <w:rPr>
          <w:rFonts w:eastAsia="Times New Roman"/>
          <w:color w:val="auto"/>
        </w:rPr>
      </w:pPr>
      <w:r w:rsidRPr="0025277F">
        <w:rPr>
          <w:rFonts w:eastAsia="Times New Roman"/>
          <w:color w:val="auto"/>
        </w:rPr>
        <w:t>T</w:t>
      </w:r>
      <w:r w:rsidRPr="0025277F">
        <w:rPr>
          <w:rFonts w:eastAsia="Times New Roman"/>
          <w:color w:val="auto"/>
        </w:rPr>
        <w:t>hose members of the Board who would like to continue as members of newly constituted Business</w:t>
      </w:r>
      <w:r w:rsidRPr="0025277F">
        <w:rPr>
          <w:rFonts w:eastAsia="Times New Roman"/>
          <w:color w:val="auto"/>
        </w:rPr>
        <w:t xml:space="preserve"> Board will be notified once the Expression of Interest process is initiated.</w:t>
      </w:r>
    </w:p>
    <w:p w14:paraId="00C7408B" w14:textId="77777777" w:rsidR="0078071C" w:rsidRPr="0078071C" w:rsidRDefault="0078071C" w:rsidP="0078071C">
      <w:pPr>
        <w:spacing w:after="0" w:line="240" w:lineRule="auto"/>
        <w:ind w:left="0" w:firstLine="0"/>
        <w:jc w:val="both"/>
        <w:rPr>
          <w:rFonts w:eastAsia="Times New Roman"/>
          <w:color w:val="auto"/>
        </w:rPr>
      </w:pPr>
    </w:p>
    <w:p w14:paraId="49E504C0" w14:textId="1437D8F0" w:rsidR="0069172C" w:rsidRDefault="0078071C" w:rsidP="0078071C">
      <w:pPr>
        <w:pStyle w:val="ListParagraph"/>
        <w:numPr>
          <w:ilvl w:val="0"/>
          <w:numId w:val="4"/>
        </w:numPr>
        <w:spacing w:after="0" w:line="240" w:lineRule="auto"/>
        <w:contextualSpacing w:val="0"/>
        <w:jc w:val="both"/>
        <w:rPr>
          <w:rFonts w:eastAsia="Times New Roman"/>
        </w:rPr>
      </w:pPr>
      <w:r>
        <w:rPr>
          <w:rFonts w:eastAsia="Times New Roman"/>
        </w:rPr>
        <w:t>It should be noted that Company</w:t>
      </w:r>
      <w:r>
        <w:rPr>
          <w:rFonts w:eastAsia="Times New Roman"/>
        </w:rPr>
        <w:t xml:space="preserve"> Directors indemnity insurance</w:t>
      </w:r>
      <w:r>
        <w:rPr>
          <w:rFonts w:eastAsia="Times New Roman"/>
        </w:rPr>
        <w:t xml:space="preserve"> </w:t>
      </w:r>
      <w:r>
        <w:rPr>
          <w:rFonts w:eastAsia="Times New Roman"/>
        </w:rPr>
        <w:t xml:space="preserve">remains in place until </w:t>
      </w:r>
      <w:r>
        <w:t>29 June 2029</w:t>
      </w:r>
      <w:r>
        <w:t>.</w:t>
      </w:r>
    </w:p>
    <w:p w14:paraId="71F40979" w14:textId="77777777" w:rsidR="0069172C" w:rsidRDefault="0069172C" w:rsidP="0069172C">
      <w:pPr>
        <w:rPr>
          <w:rFonts w:eastAsiaTheme="minorHAnsi"/>
        </w:rPr>
      </w:pPr>
    </w:p>
    <w:p w14:paraId="5C4081FB" w14:textId="77777777" w:rsidR="0078071C" w:rsidRPr="00D15423" w:rsidRDefault="0078071C" w:rsidP="0078071C">
      <w:pPr>
        <w:spacing w:after="160" w:line="259" w:lineRule="auto"/>
        <w:ind w:left="0" w:firstLine="0"/>
        <w:rPr>
          <w:rFonts w:eastAsiaTheme="majorEastAsia" w:cstheme="majorBidi"/>
          <w:b/>
          <w:color w:val="auto"/>
        </w:rPr>
      </w:pPr>
      <w:r w:rsidRPr="00AB6785">
        <w:rPr>
          <w:b/>
          <w:color w:val="auto"/>
        </w:rPr>
        <w:t>List of Background Papers</w:t>
      </w:r>
    </w:p>
    <w:p w14:paraId="31C7572C" w14:textId="77777777" w:rsidR="0078071C" w:rsidRDefault="0078071C" w:rsidP="0078071C">
      <w:pPr>
        <w:ind w:left="0" w:firstLine="0"/>
      </w:pPr>
    </w:p>
    <w:tbl>
      <w:tblPr>
        <w:tblW w:w="0" w:type="auto"/>
        <w:tblLayout w:type="fixed"/>
        <w:tblLook w:val="0000" w:firstRow="0" w:lastRow="0" w:firstColumn="0" w:lastColumn="0" w:noHBand="0" w:noVBand="0"/>
      </w:tblPr>
      <w:tblGrid>
        <w:gridCol w:w="3510"/>
        <w:gridCol w:w="2492"/>
        <w:gridCol w:w="3178"/>
      </w:tblGrid>
      <w:tr w:rsidR="0078071C" w14:paraId="2101A73F" w14:textId="77777777" w:rsidTr="00637360">
        <w:tc>
          <w:tcPr>
            <w:tcW w:w="3510" w:type="dxa"/>
          </w:tcPr>
          <w:p w14:paraId="4767F66B" w14:textId="77777777" w:rsidR="0078071C" w:rsidRPr="00AB6785" w:rsidRDefault="0078071C" w:rsidP="00637360">
            <w:pPr>
              <w:pStyle w:val="Heading7"/>
              <w:ind w:left="0" w:firstLine="0"/>
              <w:rPr>
                <w:rFonts w:ascii="Arial" w:hAnsi="Arial" w:cs="Arial"/>
                <w:i w:val="0"/>
                <w:color w:val="auto"/>
              </w:rPr>
            </w:pPr>
            <w:r w:rsidRPr="00AB6785">
              <w:rPr>
                <w:rFonts w:ascii="Arial" w:hAnsi="Arial" w:cs="Arial"/>
                <w:i w:val="0"/>
                <w:color w:val="auto"/>
              </w:rPr>
              <w:t>Paper</w:t>
            </w:r>
          </w:p>
        </w:tc>
        <w:tc>
          <w:tcPr>
            <w:tcW w:w="2492" w:type="dxa"/>
          </w:tcPr>
          <w:p w14:paraId="7A6552FD" w14:textId="77777777" w:rsidR="0078071C" w:rsidRPr="00AB6785" w:rsidRDefault="0078071C" w:rsidP="00637360">
            <w:pPr>
              <w:pStyle w:val="Heading7"/>
              <w:ind w:left="0" w:firstLine="0"/>
              <w:rPr>
                <w:rFonts w:ascii="Arial" w:hAnsi="Arial" w:cs="Arial"/>
                <w:i w:val="0"/>
                <w:color w:val="auto"/>
              </w:rPr>
            </w:pPr>
            <w:r w:rsidRPr="00AB6785">
              <w:rPr>
                <w:rFonts w:ascii="Arial" w:hAnsi="Arial" w:cs="Arial"/>
                <w:i w:val="0"/>
                <w:color w:val="auto"/>
              </w:rPr>
              <w:t>Date</w:t>
            </w:r>
          </w:p>
        </w:tc>
        <w:tc>
          <w:tcPr>
            <w:tcW w:w="3178" w:type="dxa"/>
          </w:tcPr>
          <w:p w14:paraId="1C2DB83C" w14:textId="77777777" w:rsidR="0078071C" w:rsidRPr="00AB6785" w:rsidRDefault="0078071C" w:rsidP="00637360">
            <w:pPr>
              <w:pStyle w:val="Heading7"/>
              <w:ind w:left="0" w:firstLine="0"/>
              <w:rPr>
                <w:rFonts w:ascii="Arial" w:hAnsi="Arial" w:cs="Arial"/>
                <w:i w:val="0"/>
                <w:color w:val="auto"/>
              </w:rPr>
            </w:pPr>
            <w:r w:rsidRPr="00AB6785">
              <w:rPr>
                <w:rFonts w:ascii="Arial" w:hAnsi="Arial" w:cs="Arial"/>
                <w:i w:val="0"/>
                <w:color w:val="auto"/>
              </w:rPr>
              <w:t>Contact/Tel</w:t>
            </w:r>
          </w:p>
        </w:tc>
      </w:tr>
      <w:tr w:rsidR="0078071C" w14:paraId="0E4C8DDE" w14:textId="77777777" w:rsidTr="00637360">
        <w:tc>
          <w:tcPr>
            <w:tcW w:w="3510" w:type="dxa"/>
          </w:tcPr>
          <w:p w14:paraId="5779E05F" w14:textId="77777777" w:rsidR="0078071C" w:rsidRPr="00AB6785" w:rsidRDefault="0078071C" w:rsidP="00637360">
            <w:pPr>
              <w:ind w:left="0" w:firstLine="0"/>
              <w:rPr>
                <w:color w:val="auto"/>
              </w:rPr>
            </w:pPr>
          </w:p>
          <w:p w14:paraId="79A17719" w14:textId="77777777" w:rsidR="0078071C" w:rsidRDefault="0078071C" w:rsidP="00637360">
            <w:pPr>
              <w:ind w:left="0" w:firstLine="0"/>
              <w:rPr>
                <w:color w:val="auto"/>
              </w:rPr>
            </w:pPr>
            <w:r>
              <w:rPr>
                <w:color w:val="auto"/>
              </w:rPr>
              <w:t>None</w:t>
            </w:r>
          </w:p>
          <w:p w14:paraId="4262EB13" w14:textId="77777777" w:rsidR="0078071C" w:rsidRPr="00AB6785" w:rsidRDefault="0078071C" w:rsidP="00637360">
            <w:pPr>
              <w:ind w:left="0" w:firstLine="0"/>
              <w:rPr>
                <w:color w:val="auto"/>
              </w:rPr>
            </w:pPr>
          </w:p>
        </w:tc>
        <w:tc>
          <w:tcPr>
            <w:tcW w:w="2492" w:type="dxa"/>
          </w:tcPr>
          <w:p w14:paraId="67E10E71" w14:textId="77777777" w:rsidR="0078071C" w:rsidRPr="00AB6785" w:rsidRDefault="0078071C" w:rsidP="00637360">
            <w:pPr>
              <w:ind w:left="0" w:firstLine="0"/>
              <w:rPr>
                <w:color w:val="auto"/>
              </w:rPr>
            </w:pPr>
          </w:p>
        </w:tc>
        <w:tc>
          <w:tcPr>
            <w:tcW w:w="3178" w:type="dxa"/>
          </w:tcPr>
          <w:p w14:paraId="3FF3FD63" w14:textId="77777777" w:rsidR="0078071C" w:rsidRPr="00AB6785" w:rsidRDefault="0078071C" w:rsidP="00637360">
            <w:pPr>
              <w:ind w:left="0" w:firstLine="0"/>
              <w:rPr>
                <w:color w:val="auto"/>
              </w:rPr>
            </w:pPr>
          </w:p>
        </w:tc>
      </w:tr>
      <w:tr w:rsidR="0078071C" w14:paraId="26A5BDD0" w14:textId="77777777" w:rsidTr="00637360">
        <w:trPr>
          <w:cantSplit/>
        </w:trPr>
        <w:tc>
          <w:tcPr>
            <w:tcW w:w="9180" w:type="dxa"/>
            <w:gridSpan w:val="3"/>
          </w:tcPr>
          <w:p w14:paraId="29EB3B64" w14:textId="77777777" w:rsidR="0078071C" w:rsidRDefault="0078071C" w:rsidP="00637360">
            <w:pPr>
              <w:ind w:left="0" w:firstLine="0"/>
            </w:pPr>
          </w:p>
          <w:p w14:paraId="40523894" w14:textId="77777777" w:rsidR="0078071C" w:rsidRDefault="0078071C" w:rsidP="00637360">
            <w:pPr>
              <w:ind w:left="0" w:firstLine="0"/>
            </w:pPr>
            <w:r>
              <w:t xml:space="preserve">Reason for inclusion in Part II, if appropriate </w:t>
            </w:r>
          </w:p>
          <w:p w14:paraId="2D516A05" w14:textId="77777777" w:rsidR="0078071C" w:rsidRDefault="0078071C" w:rsidP="00637360">
            <w:pPr>
              <w:ind w:left="0" w:firstLine="0"/>
            </w:pPr>
          </w:p>
          <w:p w14:paraId="275D1D02" w14:textId="77777777" w:rsidR="0078071C" w:rsidRPr="00F95C8B" w:rsidRDefault="0078071C" w:rsidP="00637360">
            <w:pPr>
              <w:ind w:left="0" w:firstLine="0"/>
              <w:rPr>
                <w:color w:val="auto"/>
              </w:rPr>
            </w:pPr>
            <w:r>
              <w:rPr>
                <w:color w:val="auto"/>
              </w:rPr>
              <w:t>N/A</w:t>
            </w:r>
          </w:p>
          <w:p w14:paraId="3A2E8B60" w14:textId="77777777" w:rsidR="0078071C" w:rsidRDefault="0078071C" w:rsidP="00637360">
            <w:pPr>
              <w:ind w:left="0" w:firstLine="0"/>
              <w:jc w:val="both"/>
            </w:pPr>
          </w:p>
        </w:tc>
      </w:tr>
    </w:tbl>
    <w:p w14:paraId="3F6FA988" w14:textId="77777777" w:rsidR="0078071C" w:rsidRDefault="0078071C" w:rsidP="0078071C">
      <w:pPr>
        <w:ind w:left="0" w:firstLine="0"/>
      </w:pPr>
    </w:p>
    <w:p w14:paraId="39C79F7F" w14:textId="77777777" w:rsidR="0078071C" w:rsidRDefault="0078071C" w:rsidP="0078071C">
      <w:pPr>
        <w:ind w:left="-710" w:firstLine="695"/>
      </w:pPr>
    </w:p>
    <w:p w14:paraId="70006766" w14:textId="77777777" w:rsidR="0069172C" w:rsidRDefault="0069172C" w:rsidP="00A3358A">
      <w:pPr>
        <w:rPr>
          <w:b/>
        </w:rPr>
      </w:pPr>
    </w:p>
    <w:sectPr w:rsidR="006917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DD01" w14:textId="77777777" w:rsidR="00000000" w:rsidRDefault="0078071C">
      <w:pPr>
        <w:spacing w:after="0" w:line="240" w:lineRule="auto"/>
      </w:pPr>
      <w:r>
        <w:separator/>
      </w:r>
    </w:p>
  </w:endnote>
  <w:endnote w:type="continuationSeparator" w:id="0">
    <w:p w14:paraId="7278D0ED" w14:textId="77777777" w:rsidR="00000000" w:rsidRDefault="0078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1A41" w14:textId="77777777" w:rsidR="00000000" w:rsidRDefault="0078071C">
      <w:pPr>
        <w:spacing w:after="0" w:line="240" w:lineRule="auto"/>
      </w:pPr>
      <w:r>
        <w:separator/>
      </w:r>
    </w:p>
  </w:footnote>
  <w:footnote w:type="continuationSeparator" w:id="0">
    <w:p w14:paraId="1EBE98B7" w14:textId="77777777" w:rsidR="00000000" w:rsidRDefault="00780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095D" w14:textId="77777777" w:rsidR="00CF1133" w:rsidRDefault="0078071C">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F5928EC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B614BB2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3E26C1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F938847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7E1456B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680386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52ECCF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666821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9905EE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6A7901B0"/>
    <w:multiLevelType w:val="hybridMultilevel"/>
    <w:tmpl w:val="C620592C"/>
    <w:lvl w:ilvl="0" w:tplc="0E6EDAA0">
      <w:start w:val="1"/>
      <w:numFmt w:val="bullet"/>
      <w:lvlText w:val=""/>
      <w:lvlJc w:val="left"/>
      <w:pPr>
        <w:ind w:left="720" w:hanging="360"/>
      </w:pPr>
      <w:rPr>
        <w:rFonts w:ascii="Symbol" w:hAnsi="Symbol" w:hint="default"/>
      </w:rPr>
    </w:lvl>
    <w:lvl w:ilvl="1" w:tplc="ED5EB356">
      <w:start w:val="1"/>
      <w:numFmt w:val="bullet"/>
      <w:lvlText w:val="o"/>
      <w:lvlJc w:val="left"/>
      <w:pPr>
        <w:ind w:left="1440" w:hanging="360"/>
      </w:pPr>
      <w:rPr>
        <w:rFonts w:ascii="Courier New" w:hAnsi="Courier New" w:cs="Courier New" w:hint="default"/>
      </w:rPr>
    </w:lvl>
    <w:lvl w:ilvl="2" w:tplc="6D76A88E">
      <w:start w:val="1"/>
      <w:numFmt w:val="bullet"/>
      <w:lvlText w:val=""/>
      <w:lvlJc w:val="left"/>
      <w:pPr>
        <w:ind w:left="2160" w:hanging="360"/>
      </w:pPr>
      <w:rPr>
        <w:rFonts w:ascii="Wingdings" w:hAnsi="Wingdings" w:hint="default"/>
      </w:rPr>
    </w:lvl>
    <w:lvl w:ilvl="3" w:tplc="C7488D5E">
      <w:start w:val="1"/>
      <w:numFmt w:val="bullet"/>
      <w:lvlText w:val=""/>
      <w:lvlJc w:val="left"/>
      <w:pPr>
        <w:ind w:left="2880" w:hanging="360"/>
      </w:pPr>
      <w:rPr>
        <w:rFonts w:ascii="Symbol" w:hAnsi="Symbol" w:hint="default"/>
      </w:rPr>
    </w:lvl>
    <w:lvl w:ilvl="4" w:tplc="CBBEE378">
      <w:start w:val="1"/>
      <w:numFmt w:val="bullet"/>
      <w:lvlText w:val="o"/>
      <w:lvlJc w:val="left"/>
      <w:pPr>
        <w:ind w:left="3600" w:hanging="360"/>
      </w:pPr>
      <w:rPr>
        <w:rFonts w:ascii="Courier New" w:hAnsi="Courier New" w:cs="Courier New" w:hint="default"/>
      </w:rPr>
    </w:lvl>
    <w:lvl w:ilvl="5" w:tplc="0DC22910">
      <w:start w:val="1"/>
      <w:numFmt w:val="bullet"/>
      <w:lvlText w:val=""/>
      <w:lvlJc w:val="left"/>
      <w:pPr>
        <w:ind w:left="4320" w:hanging="360"/>
      </w:pPr>
      <w:rPr>
        <w:rFonts w:ascii="Wingdings" w:hAnsi="Wingdings" w:hint="default"/>
      </w:rPr>
    </w:lvl>
    <w:lvl w:ilvl="6" w:tplc="CD967310">
      <w:start w:val="1"/>
      <w:numFmt w:val="bullet"/>
      <w:lvlText w:val=""/>
      <w:lvlJc w:val="left"/>
      <w:pPr>
        <w:ind w:left="5040" w:hanging="360"/>
      </w:pPr>
      <w:rPr>
        <w:rFonts w:ascii="Symbol" w:hAnsi="Symbol" w:hint="default"/>
      </w:rPr>
    </w:lvl>
    <w:lvl w:ilvl="7" w:tplc="A94406E6">
      <w:start w:val="1"/>
      <w:numFmt w:val="bullet"/>
      <w:lvlText w:val="o"/>
      <w:lvlJc w:val="left"/>
      <w:pPr>
        <w:ind w:left="5760" w:hanging="360"/>
      </w:pPr>
      <w:rPr>
        <w:rFonts w:ascii="Courier New" w:hAnsi="Courier New" w:cs="Courier New" w:hint="default"/>
      </w:rPr>
    </w:lvl>
    <w:lvl w:ilvl="8" w:tplc="F440DB4A">
      <w:start w:val="1"/>
      <w:numFmt w:val="bullet"/>
      <w:lvlText w:val=""/>
      <w:lvlJc w:val="left"/>
      <w:pPr>
        <w:ind w:left="6480" w:hanging="360"/>
      </w:pPr>
      <w:rPr>
        <w:rFonts w:ascii="Wingdings" w:hAnsi="Wingdings" w:hint="default"/>
      </w:rPr>
    </w:lvl>
  </w:abstractNum>
  <w:num w:numId="1" w16cid:durableId="557591995">
    <w:abstractNumId w:val="1"/>
  </w:num>
  <w:num w:numId="2" w16cid:durableId="697001150">
    <w:abstractNumId w:val="0"/>
  </w:num>
  <w:num w:numId="3" w16cid:durableId="1509713860">
    <w:abstractNumId w:val="2"/>
  </w:num>
  <w:num w:numId="4" w16cid:durableId="11658237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13335"/>
    <w:rsid w:val="00145322"/>
    <w:rsid w:val="001F2552"/>
    <w:rsid w:val="001F5AEF"/>
    <w:rsid w:val="0025277F"/>
    <w:rsid w:val="00284E9F"/>
    <w:rsid w:val="002B49F2"/>
    <w:rsid w:val="002E69BD"/>
    <w:rsid w:val="0035233C"/>
    <w:rsid w:val="00386D34"/>
    <w:rsid w:val="003B18C2"/>
    <w:rsid w:val="004176B4"/>
    <w:rsid w:val="00434CCE"/>
    <w:rsid w:val="005206EF"/>
    <w:rsid w:val="005D0C06"/>
    <w:rsid w:val="005D7059"/>
    <w:rsid w:val="0069172C"/>
    <w:rsid w:val="006C0636"/>
    <w:rsid w:val="006D629C"/>
    <w:rsid w:val="00727978"/>
    <w:rsid w:val="0078071C"/>
    <w:rsid w:val="007A7CEE"/>
    <w:rsid w:val="007B7327"/>
    <w:rsid w:val="007D5F5A"/>
    <w:rsid w:val="00816EB2"/>
    <w:rsid w:val="00841251"/>
    <w:rsid w:val="00870C84"/>
    <w:rsid w:val="008D7B94"/>
    <w:rsid w:val="0096218F"/>
    <w:rsid w:val="00A3358A"/>
    <w:rsid w:val="00AB6785"/>
    <w:rsid w:val="00B13ACE"/>
    <w:rsid w:val="00B25A7B"/>
    <w:rsid w:val="00B439EA"/>
    <w:rsid w:val="00BC4466"/>
    <w:rsid w:val="00C52160"/>
    <w:rsid w:val="00CD3B45"/>
    <w:rsid w:val="00CF1133"/>
    <w:rsid w:val="00D45EFD"/>
    <w:rsid w:val="00D7480F"/>
    <w:rsid w:val="00E60319"/>
    <w:rsid w:val="00F01FE2"/>
    <w:rsid w:val="00F41096"/>
    <w:rsid w:val="00F52CD7"/>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092D"/>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Revision">
    <w:name w:val="Revision"/>
    <w:hidden/>
    <w:uiPriority w:val="99"/>
    <w:semiHidden/>
    <w:rsid w:val="007B7327"/>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12</cp:revision>
  <dcterms:created xsi:type="dcterms:W3CDTF">2014-12-03T08:17:00Z</dcterms:created>
  <dcterms:modified xsi:type="dcterms:W3CDTF">2023-12-14T09:00:00Z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Arrangements for LEP Closure</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Wednesday, 20 December 2023</vt:lpwstr>
  </property>
</Properties>
</file>